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0306" w14:textId="77777777" w:rsidR="0073638D" w:rsidRPr="0073638D" w:rsidRDefault="0073638D" w:rsidP="0073638D">
      <w:pPr>
        <w:rPr>
          <w:rFonts w:ascii="Times New Roman" w:hAnsi="Times New Roman" w:cs="Times New Roman"/>
          <w:lang w:val="ru-RU"/>
        </w:rPr>
      </w:pPr>
      <w:r w:rsidRPr="0073638D">
        <w:rPr>
          <w:rFonts w:ascii="Times New Roman" w:hAnsi="Times New Roman" w:cs="Times New Roman"/>
          <w:lang w:val="ru-RU"/>
        </w:rPr>
        <w:t>«</w:t>
      </w:r>
      <w:proofErr w:type="spellStart"/>
      <w:r w:rsidRPr="0073638D">
        <w:rPr>
          <w:rFonts w:ascii="Times New Roman" w:hAnsi="Times New Roman" w:cs="Times New Roman"/>
          <w:lang w:val="ru-RU"/>
        </w:rPr>
        <w:t>Жітіқара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ауданы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білім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бөлімінің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Пригородный </w:t>
      </w:r>
      <w:proofErr w:type="spellStart"/>
      <w:r w:rsidRPr="0073638D">
        <w:rPr>
          <w:rFonts w:ascii="Times New Roman" w:hAnsi="Times New Roman" w:cs="Times New Roman"/>
          <w:lang w:val="ru-RU"/>
        </w:rPr>
        <w:t>жалпы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білім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беретін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мектебі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» КММ </w:t>
      </w:r>
      <w:proofErr w:type="spellStart"/>
      <w:r w:rsidRPr="0073638D">
        <w:rPr>
          <w:rFonts w:ascii="Times New Roman" w:hAnsi="Times New Roman" w:cs="Times New Roman"/>
          <w:lang w:val="ru-RU"/>
        </w:rPr>
        <w:t>сыбайлас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жемқорлық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тәуекелдеріне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жататын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3638D">
        <w:rPr>
          <w:rFonts w:ascii="Times New Roman" w:hAnsi="Times New Roman" w:cs="Times New Roman"/>
          <w:lang w:val="ru-RU"/>
        </w:rPr>
        <w:t>лауазымдар</w:t>
      </w:r>
      <w:proofErr w:type="spellEnd"/>
      <w:r w:rsidRPr="0073638D">
        <w:rPr>
          <w:rFonts w:ascii="Times New Roman" w:hAnsi="Times New Roman" w:cs="Times New Roman"/>
          <w:lang w:val="ru-RU"/>
        </w:rPr>
        <w:t xml:space="preserve"> УОАКО</w:t>
      </w:r>
    </w:p>
    <w:tbl>
      <w:tblPr>
        <w:tblStyle w:val="ac"/>
        <w:tblW w:w="11312" w:type="dxa"/>
        <w:tblInd w:w="-1139" w:type="dxa"/>
        <w:tblLook w:val="04A0" w:firstRow="1" w:lastRow="0" w:firstColumn="1" w:lastColumn="0" w:noHBand="0" w:noVBand="1"/>
      </w:tblPr>
      <w:tblGrid>
        <w:gridCol w:w="1985"/>
        <w:gridCol w:w="5386"/>
        <w:gridCol w:w="3941"/>
      </w:tblGrid>
      <w:tr w:rsidR="0073638D" w:rsidRPr="0073638D" w14:paraId="70E7A6F9" w14:textId="77777777" w:rsidTr="00B629FF">
        <w:tc>
          <w:tcPr>
            <w:tcW w:w="1985" w:type="dxa"/>
          </w:tcPr>
          <w:p w14:paraId="0C1ABF6B" w14:textId="77777777" w:rsidR="0073638D" w:rsidRPr="0073638D" w:rsidRDefault="0073638D" w:rsidP="00B629F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638D">
              <w:rPr>
                <w:rFonts w:ascii="Times New Roman" w:hAnsi="Times New Roman" w:cs="Times New Roman"/>
                <w:b/>
                <w:bCs/>
              </w:rPr>
              <w:t>Қызмет</w:t>
            </w:r>
            <w:proofErr w:type="spellEnd"/>
            <w:r w:rsidRPr="007363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b/>
                <w:bCs/>
              </w:rPr>
              <w:t>атауы</w:t>
            </w:r>
            <w:proofErr w:type="spellEnd"/>
          </w:p>
        </w:tc>
        <w:tc>
          <w:tcPr>
            <w:tcW w:w="5386" w:type="dxa"/>
          </w:tcPr>
          <w:p w14:paraId="792E3539" w14:textId="77777777" w:rsidR="0073638D" w:rsidRPr="0073638D" w:rsidRDefault="0073638D" w:rsidP="00B629F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638D">
              <w:rPr>
                <w:rFonts w:ascii="Times New Roman" w:hAnsi="Times New Roman" w:cs="Times New Roman"/>
                <w:b/>
                <w:bCs/>
              </w:rPr>
              <w:t>Сыбайлас</w:t>
            </w:r>
            <w:proofErr w:type="spellEnd"/>
            <w:r w:rsidRPr="007363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b/>
                <w:bCs/>
              </w:rPr>
              <w:t>жемқорлық</w:t>
            </w:r>
            <w:proofErr w:type="spellEnd"/>
            <w:r w:rsidRPr="007363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b/>
                <w:bCs/>
              </w:rPr>
              <w:t>тәуекелдері</w:t>
            </w:r>
            <w:proofErr w:type="spellEnd"/>
          </w:p>
        </w:tc>
        <w:tc>
          <w:tcPr>
            <w:tcW w:w="3941" w:type="dxa"/>
          </w:tcPr>
          <w:p w14:paraId="7CBCC53D" w14:textId="77777777" w:rsidR="0073638D" w:rsidRPr="0073638D" w:rsidRDefault="0073638D" w:rsidP="00B629F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638D">
              <w:rPr>
                <w:rFonts w:ascii="Times New Roman" w:hAnsi="Times New Roman" w:cs="Times New Roman"/>
                <w:b/>
                <w:bCs/>
              </w:rPr>
              <w:t>Тәуекелді</w:t>
            </w:r>
            <w:proofErr w:type="spellEnd"/>
            <w:r w:rsidRPr="007363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b/>
                <w:bCs/>
              </w:rPr>
              <w:t>азайту</w:t>
            </w:r>
            <w:proofErr w:type="spellEnd"/>
            <w:r w:rsidRPr="007363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b/>
                <w:bCs/>
              </w:rPr>
              <w:t>шаралары</w:t>
            </w:r>
            <w:proofErr w:type="spellEnd"/>
          </w:p>
        </w:tc>
      </w:tr>
      <w:tr w:rsidR="0073638D" w:rsidRPr="0073638D" w14:paraId="128914F3" w14:textId="77777777" w:rsidTr="00B629FF">
        <w:tc>
          <w:tcPr>
            <w:tcW w:w="1985" w:type="dxa"/>
          </w:tcPr>
          <w:p w14:paraId="01FD9B5E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</w:rPr>
              <w:t>директоры</w:t>
            </w:r>
            <w:proofErr w:type="spellEnd"/>
          </w:p>
        </w:tc>
        <w:tc>
          <w:tcPr>
            <w:tcW w:w="5386" w:type="dxa"/>
          </w:tcPr>
          <w:p w14:paraId="793E10D4" w14:textId="77777777" w:rsidR="0073638D" w:rsidRPr="0073638D" w:rsidRDefault="0073638D" w:rsidP="00B629F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Кадрларды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іріктеуді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орналастыруды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жүзеге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асырады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штаттық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кестені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қызметкерлердің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лауазымдық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міндеттерін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бекітеді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білім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беру</w:t>
            </w:r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ұйымының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қызметкерлері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мен</w:t>
            </w:r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мұғалімдерін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көтермелеу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бойынша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жоғары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көрсеткіштер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мен</w:t>
            </w:r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жетістіктермен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қамтамасыз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етеді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білім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беру</w:t>
            </w:r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ұйымының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мүлкі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мен</w:t>
            </w:r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қаражатын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басқаруды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жүзеге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асырады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Жұмыс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көлемін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ашық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емес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бөлу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жұмысқа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қабылдау</w:t>
            </w:r>
            <w:proofErr w:type="spellEnd"/>
          </w:p>
        </w:tc>
        <w:tc>
          <w:tcPr>
            <w:tcW w:w="3941" w:type="dxa"/>
          </w:tcPr>
          <w:p w14:paraId="5D18913F" w14:textId="77777777" w:rsidR="0073638D" w:rsidRPr="0073638D" w:rsidRDefault="0073638D" w:rsidP="00B629F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Алқалық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шешімдер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есептерді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жариялау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сыбайлас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жемқорлыққа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қарсы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мониторинг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жүргізу</w:t>
            </w:r>
            <w:proofErr w:type="spellEnd"/>
          </w:p>
        </w:tc>
      </w:tr>
      <w:tr w:rsidR="0073638D" w:rsidRPr="0073638D" w14:paraId="02519175" w14:textId="77777777" w:rsidTr="00B629FF">
        <w:tc>
          <w:tcPr>
            <w:tcW w:w="1985" w:type="dxa"/>
          </w:tcPr>
          <w:p w14:paraId="2FF579CE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</w:rPr>
              <w:t>Директордың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</w:rPr>
              <w:t>орынбасары</w:t>
            </w:r>
            <w:proofErr w:type="spellEnd"/>
          </w:p>
        </w:tc>
        <w:tc>
          <w:tcPr>
            <w:tcW w:w="5386" w:type="dxa"/>
          </w:tcPr>
          <w:p w14:paraId="774EB145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Жұмыс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уақытын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есепке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сабақты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ауыстыру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сағаттарды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бөлу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. </w:t>
            </w:r>
          </w:p>
          <w:p w14:paraId="20F39150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Мемлекеттік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қызметтерді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көрсету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олардың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ерекшеліктері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нысаналы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негіздер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бойынша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өтінішті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қабылдамау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мүмкіндігі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көзделмеген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құжаттарды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талап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ету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қарауды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кешіктіру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нәтижелерді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беруден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заңсыз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бас</w:t>
            </w:r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тарту</w:t>
            </w:r>
          </w:p>
        </w:tc>
        <w:tc>
          <w:tcPr>
            <w:tcW w:w="3941" w:type="dxa"/>
          </w:tcPr>
          <w:p w14:paraId="3B1A7D9C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r w:rsidRPr="0073638D">
              <w:rPr>
                <w:rFonts w:ascii="Times New Roman" w:hAnsi="Times New Roman" w:cs="Times New Roman"/>
                <w:lang w:val="ru-RU"/>
              </w:rPr>
              <w:t>Комиссия</w:t>
            </w:r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тарапынан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бақылау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кестелер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мен</w:t>
            </w:r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хаттамалардың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ашықтығы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жұмыс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уақытының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кестелерінің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толтырылуын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бақылау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мемлекеттік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қызмет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көрсетуді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бақылау</w:t>
            </w:r>
            <w:proofErr w:type="spellEnd"/>
            <w:r w:rsidRPr="0073638D">
              <w:rPr>
                <w:rFonts w:ascii="Times New Roman" w:hAnsi="Times New Roman" w:cs="Times New Roman"/>
              </w:rPr>
              <w:t>.</w:t>
            </w:r>
          </w:p>
        </w:tc>
      </w:tr>
      <w:tr w:rsidR="0073638D" w:rsidRPr="0073638D" w14:paraId="1DAC3A05" w14:textId="77777777" w:rsidTr="00B629FF">
        <w:tc>
          <w:tcPr>
            <w:tcW w:w="1985" w:type="dxa"/>
          </w:tcPr>
          <w:p w14:paraId="0E45E96F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</w:rPr>
              <w:t>Пән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5386" w:type="dxa"/>
          </w:tcPr>
          <w:p w14:paraId="2B18F615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Электронды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журнал</w:t>
            </w:r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жүргізу</w:t>
            </w:r>
            <w:proofErr w:type="spellEnd"/>
            <w:r w:rsidRPr="0073638D">
              <w:rPr>
                <w:rFonts w:ascii="Times New Roman" w:hAnsi="Times New Roman" w:cs="Times New Roman"/>
              </w:rPr>
              <w:t>, «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сыйлықтар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үшін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бопсалау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Баға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қоюда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біржақтылық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оқу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үлгерімінің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көрінісін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жасанды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түрде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сақтау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үшін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баға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ұпайларын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көбейту</w:t>
            </w:r>
            <w:proofErr w:type="spellEnd"/>
          </w:p>
        </w:tc>
        <w:tc>
          <w:tcPr>
            <w:tcW w:w="3941" w:type="dxa"/>
          </w:tcPr>
          <w:p w14:paraId="77A55B4B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Электронды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журналдардың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толтырылуын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бақылау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білімді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тәуелсіз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бағалау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сыбайлас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жемқорлыққа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қарсы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тренингтер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өткізу</w:t>
            </w:r>
            <w:proofErr w:type="spellEnd"/>
          </w:p>
        </w:tc>
      </w:tr>
      <w:tr w:rsidR="0073638D" w:rsidRPr="0073638D" w14:paraId="615E5903" w14:textId="77777777" w:rsidTr="00B629FF">
        <w:tc>
          <w:tcPr>
            <w:tcW w:w="1985" w:type="dxa"/>
          </w:tcPr>
          <w:p w14:paraId="733A8956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</w:rPr>
              <w:t>Сынып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5386" w:type="dxa"/>
          </w:tcPr>
          <w:p w14:paraId="27B398F0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Қаржы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жинау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3638D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оқушылардың</w:t>
            </w:r>
            <w:proofErr w:type="spellEnd"/>
            <w:proofErr w:type="gram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мінездемелеріне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әсері</w:t>
            </w:r>
            <w:proofErr w:type="spellEnd"/>
          </w:p>
        </w:tc>
        <w:tc>
          <w:tcPr>
            <w:tcW w:w="3941" w:type="dxa"/>
          </w:tcPr>
          <w:p w14:paraId="2FFEE9DC" w14:textId="77777777" w:rsidR="0073638D" w:rsidRPr="0073638D" w:rsidRDefault="0073638D" w:rsidP="00B629F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Ата-аналар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комитетінің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бақылауы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3638D" w:rsidRPr="0073638D" w14:paraId="5AADBB7B" w14:textId="77777777" w:rsidTr="00B629FF">
        <w:tc>
          <w:tcPr>
            <w:tcW w:w="1985" w:type="dxa"/>
          </w:tcPr>
          <w:p w14:paraId="7B89BBDA" w14:textId="77777777" w:rsidR="0073638D" w:rsidRPr="0073638D" w:rsidRDefault="0073638D" w:rsidP="00B629F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Қамқоршы</w:t>
            </w:r>
            <w:proofErr w:type="spellEnd"/>
          </w:p>
        </w:tc>
        <w:tc>
          <w:tcPr>
            <w:tcW w:w="5386" w:type="dxa"/>
          </w:tcPr>
          <w:p w14:paraId="6DF88C62" w14:textId="77777777" w:rsidR="0073638D" w:rsidRPr="0073638D" w:rsidRDefault="0073638D" w:rsidP="00B629F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Мүлікті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есептен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шығару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қатты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отын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шығыны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жұмыс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уақытының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есебі</w:t>
            </w:r>
            <w:proofErr w:type="spellEnd"/>
          </w:p>
        </w:tc>
        <w:tc>
          <w:tcPr>
            <w:tcW w:w="3941" w:type="dxa"/>
          </w:tcPr>
          <w:p w14:paraId="732E84E8" w14:textId="77777777" w:rsidR="0073638D" w:rsidRPr="0073638D" w:rsidRDefault="0073638D" w:rsidP="00B629F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Тауарлы-материалдық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қорларды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тәуелсіз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бақылау</w:t>
            </w:r>
            <w:proofErr w:type="spellEnd"/>
          </w:p>
        </w:tc>
      </w:tr>
      <w:tr w:rsidR="0073638D" w:rsidRPr="0073638D" w14:paraId="074FC6E6" w14:textId="77777777" w:rsidTr="00B629FF">
        <w:tc>
          <w:tcPr>
            <w:tcW w:w="1985" w:type="dxa"/>
          </w:tcPr>
          <w:p w14:paraId="55FE399F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</w:rPr>
              <w:t>Кітапханашы</w:t>
            </w:r>
            <w:proofErr w:type="spellEnd"/>
          </w:p>
        </w:tc>
        <w:tc>
          <w:tcPr>
            <w:tcW w:w="5386" w:type="dxa"/>
          </w:tcPr>
          <w:p w14:paraId="14F55DBC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Кітаптарды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себепсіз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есептен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шығару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оқулықтарды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жасыру</w:t>
            </w:r>
            <w:proofErr w:type="spellEnd"/>
          </w:p>
        </w:tc>
        <w:tc>
          <w:tcPr>
            <w:tcW w:w="3941" w:type="dxa"/>
          </w:tcPr>
          <w:p w14:paraId="2419A806" w14:textId="77777777" w:rsidR="0073638D" w:rsidRPr="0073638D" w:rsidRDefault="0073638D" w:rsidP="00B629FF">
            <w:pPr>
              <w:rPr>
                <w:rFonts w:ascii="Times New Roman" w:hAnsi="Times New Roman" w:cs="Times New Roman"/>
                <w:lang w:val="ru-RU"/>
              </w:rPr>
            </w:pPr>
            <w:r w:rsidRPr="0073638D"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Сандық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қорды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есепке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алу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комиссиялық</w:t>
            </w:r>
            <w:proofErr w:type="spellEnd"/>
            <w:r w:rsidRPr="0073638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тексеру</w:t>
            </w:r>
            <w:proofErr w:type="spellEnd"/>
          </w:p>
        </w:tc>
      </w:tr>
      <w:tr w:rsidR="0073638D" w:rsidRPr="0073638D" w14:paraId="49A3FF3F" w14:textId="77777777" w:rsidTr="00B629FF">
        <w:trPr>
          <w:trHeight w:val="782"/>
        </w:trPr>
        <w:tc>
          <w:tcPr>
            <w:tcW w:w="1985" w:type="dxa"/>
          </w:tcPr>
          <w:p w14:paraId="1A8E1B6E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</w:rPr>
              <w:t>Мектеп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</w:rPr>
              <w:t>комитеттерінің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</w:rPr>
              <w:t>мүшелері</w:t>
            </w:r>
            <w:proofErr w:type="spellEnd"/>
          </w:p>
        </w:tc>
        <w:tc>
          <w:tcPr>
            <w:tcW w:w="5386" w:type="dxa"/>
          </w:tcPr>
          <w:p w14:paraId="58BF1570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Сертификаттау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емтихандар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кезінде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қызығушылықтарды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лоббилеу</w:t>
            </w:r>
            <w:proofErr w:type="spellEnd"/>
          </w:p>
        </w:tc>
        <w:tc>
          <w:tcPr>
            <w:tcW w:w="3941" w:type="dxa"/>
          </w:tcPr>
          <w:p w14:paraId="35A658A8" w14:textId="77777777" w:rsidR="0073638D" w:rsidRPr="0073638D" w:rsidRDefault="0073638D" w:rsidP="00B629FF">
            <w:pPr>
              <w:rPr>
                <w:rFonts w:ascii="Times New Roman" w:hAnsi="Times New Roman" w:cs="Times New Roman"/>
              </w:rPr>
            </w:pP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Сыртқы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бақылаушыларды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r w:rsidRPr="0073638D">
              <w:rPr>
                <w:rFonts w:ascii="Times New Roman" w:hAnsi="Times New Roman" w:cs="Times New Roman"/>
                <w:lang w:val="ru-RU"/>
              </w:rPr>
              <w:t>тарту</w:t>
            </w:r>
            <w:r w:rsidRPr="0073638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процедураларды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бейнежазбаға</w:t>
            </w:r>
            <w:proofErr w:type="spellEnd"/>
            <w:r w:rsidRPr="007363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638D">
              <w:rPr>
                <w:rFonts w:ascii="Times New Roman" w:hAnsi="Times New Roman" w:cs="Times New Roman"/>
                <w:lang w:val="ru-RU"/>
              </w:rPr>
              <w:t>түсіру</w:t>
            </w:r>
            <w:proofErr w:type="spellEnd"/>
          </w:p>
        </w:tc>
      </w:tr>
    </w:tbl>
    <w:p w14:paraId="3383E20A" w14:textId="77777777" w:rsidR="0073638D" w:rsidRPr="0073638D" w:rsidRDefault="0073638D" w:rsidP="0073638D">
      <w:pPr>
        <w:rPr>
          <w:rFonts w:ascii="Times New Roman" w:hAnsi="Times New Roman" w:cs="Times New Roman"/>
        </w:rPr>
      </w:pPr>
    </w:p>
    <w:p w14:paraId="0108B644" w14:textId="77777777" w:rsidR="00946A46" w:rsidRPr="0073638D" w:rsidRDefault="00946A46"/>
    <w:sectPr w:rsidR="00946A46" w:rsidRPr="0073638D" w:rsidSect="0073638D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17"/>
    <w:rsid w:val="000D3CE5"/>
    <w:rsid w:val="00445E17"/>
    <w:rsid w:val="005F6E4F"/>
    <w:rsid w:val="00663B19"/>
    <w:rsid w:val="0073638D"/>
    <w:rsid w:val="00946A46"/>
    <w:rsid w:val="00A90A6D"/>
    <w:rsid w:val="00C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0D67"/>
  <w15:chartTrackingRefBased/>
  <w15:docId w15:val="{0776E3E3-8189-4A7A-91B2-A1305CFC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38D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5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E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E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E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E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E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E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5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5E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E1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5E1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5E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5E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5E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5E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5E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5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5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5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5E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5E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5E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5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5E1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5E1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73638D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Танжарикова</dc:creator>
  <cp:keywords/>
  <dc:description/>
  <cp:lastModifiedBy>Гульнар Танжарикова</cp:lastModifiedBy>
  <cp:revision>2</cp:revision>
  <dcterms:created xsi:type="dcterms:W3CDTF">2025-05-08T10:05:00Z</dcterms:created>
  <dcterms:modified xsi:type="dcterms:W3CDTF">2025-05-08T10:05:00Z</dcterms:modified>
</cp:coreProperties>
</file>